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4C73" w14:textId="77777777" w:rsidR="00C82CD7" w:rsidRPr="006430CF" w:rsidRDefault="00C82CD7">
      <w:pPr>
        <w:rPr>
          <w:rFonts w:ascii="Times New Roman" w:hAnsi="Times New Roman" w:cs="Times New Roman"/>
          <w:sz w:val="24"/>
          <w:szCs w:val="24"/>
        </w:rPr>
      </w:pPr>
      <w:r w:rsidRPr="006430CF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6430CF">
        <w:rPr>
          <w:rFonts w:ascii="Times New Roman" w:hAnsi="Times New Roman" w:cs="Times New Roman"/>
          <w:sz w:val="24"/>
          <w:szCs w:val="24"/>
        </w:rPr>
        <w:t xml:space="preserve"> </w:t>
      </w:r>
      <w:r w:rsidRPr="006430C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освоения и личностного развития ребенка в процессе обучения </w:t>
      </w:r>
      <w:r w:rsidRPr="006430CF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программы модифицирован методической службой МБОУ ДО ДЮСШ «Совершенство», проводился в 2021-2022 учебном году.</w:t>
      </w:r>
      <w:r w:rsidRPr="006430CF">
        <w:rPr>
          <w:rFonts w:ascii="Times New Roman" w:hAnsi="Times New Roman" w:cs="Times New Roman"/>
          <w:sz w:val="24"/>
          <w:szCs w:val="24"/>
        </w:rPr>
        <w:t xml:space="preserve"> В исследовании принимали участие 28 спортсменов – тхэквондистов (версия ИТФ). Преимущественно 1 разряда и КМС, в возрасте 14-18 лет. По данным комплексного медицинского обследования, испытуемые, на момент проведения исследования, признаны здоровыми. Исследование проводилось в течение 1 года, определялся уровень физической работоспособности в восстановительных, подготовительных и соревновательных периодах подготовки. Обследование и регистрация параметров функционального состояния проводилась в среднем с интервалом 1 месяц. Количественная оценка спортивной работоспособности определялась с помощью аппаратно-диагностического комплекса «Краб». Исследовались следующие показатели: индекс степ-теста (ИСТ), задержка дыхания на выдохе (проба </w:t>
      </w:r>
      <w:proofErr w:type="spellStart"/>
      <w:r w:rsidRPr="006430CF">
        <w:rPr>
          <w:rFonts w:ascii="Times New Roman" w:hAnsi="Times New Roman" w:cs="Times New Roman"/>
          <w:sz w:val="24"/>
          <w:szCs w:val="24"/>
        </w:rPr>
        <w:t>Генча</w:t>
      </w:r>
      <w:proofErr w:type="spellEnd"/>
      <w:r w:rsidRPr="006430CF">
        <w:rPr>
          <w:rFonts w:ascii="Times New Roman" w:hAnsi="Times New Roman" w:cs="Times New Roman"/>
          <w:sz w:val="24"/>
          <w:szCs w:val="24"/>
        </w:rPr>
        <w:t xml:space="preserve">). На основании полученных результатов вычислялся интегральный показатель работоспособности (ИП). Статистическая обработка производилась с использованием прикладных программ «IBM SPSS </w:t>
      </w:r>
      <w:proofErr w:type="spellStart"/>
      <w:r w:rsidRPr="006430CF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6430CF">
        <w:rPr>
          <w:rFonts w:ascii="Times New Roman" w:hAnsi="Times New Roman" w:cs="Times New Roman"/>
          <w:sz w:val="24"/>
          <w:szCs w:val="24"/>
        </w:rPr>
        <w:t xml:space="preserve"> 20» для «Windows». </w:t>
      </w:r>
      <w:r w:rsidRPr="006430CF">
        <w:rPr>
          <w:rFonts w:ascii="Times New Roman" w:hAnsi="Times New Roman" w:cs="Times New Roman"/>
          <w:b/>
          <w:bCs/>
          <w:sz w:val="24"/>
          <w:szCs w:val="24"/>
        </w:rPr>
        <w:t>РЕЗУЛЬТАТЫ И ИХ ОБСУЖДЕНИЕ</w:t>
      </w:r>
      <w:r w:rsidRPr="006430CF">
        <w:rPr>
          <w:rFonts w:ascii="Times New Roman" w:hAnsi="Times New Roman" w:cs="Times New Roman"/>
          <w:sz w:val="24"/>
          <w:szCs w:val="24"/>
        </w:rPr>
        <w:t xml:space="preserve"> Анализ полученных данных показал (см. таблицу), что наблюдается динамика уменьшения показателя ИСТ между первым и вторым обследованием, что может быть подтверждением недостаточной подготовки организма к аэробным нагрузкам у данной выборки или негативной реакцией на увеличение физической нагрузки в соревновательном периоде тренировки. Статистически значимо уменьшились показатели ИСТ между 3 и 4 обследованием, который проводился в середине второго восстановительного периода. Такие результаты, скорее всего, связаны со снижением интенсивности физической нагрузки, как и в случае со ПЗМР. </w:t>
      </w:r>
    </w:p>
    <w:p w14:paraId="2C30513A" w14:textId="77777777" w:rsidR="00F5791D" w:rsidRDefault="00C82CD7">
      <w:r w:rsidRPr="00C82CD7">
        <w:rPr>
          <w:b/>
          <w:bCs/>
        </w:rPr>
        <w:t>Таблица Динамика средних значений ИСТ, ПГ и ИП за весь период тренировочного процесса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987"/>
        <w:gridCol w:w="987"/>
        <w:gridCol w:w="986"/>
        <w:gridCol w:w="989"/>
        <w:gridCol w:w="987"/>
        <w:gridCol w:w="986"/>
        <w:gridCol w:w="849"/>
        <w:gridCol w:w="882"/>
      </w:tblGrid>
      <w:tr w:rsidR="00F5791D" w14:paraId="69CDABA5" w14:textId="77777777" w:rsidTr="006430CF">
        <w:trPr>
          <w:trHeight w:val="527"/>
        </w:trPr>
        <w:tc>
          <w:tcPr>
            <w:tcW w:w="1692" w:type="dxa"/>
            <w:tcBorders>
              <w:tl2br w:val="single" w:sz="4" w:space="0" w:color="auto"/>
            </w:tcBorders>
          </w:tcPr>
          <w:p w14:paraId="1C248C5D" w14:textId="1982ACC1" w:rsidR="00F5791D" w:rsidRDefault="00F5791D" w:rsidP="00F5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обследования</w:t>
            </w:r>
          </w:p>
          <w:p w14:paraId="7037361A" w14:textId="77777777" w:rsidR="00F5791D" w:rsidRDefault="00F5791D">
            <w:pPr>
              <w:rPr>
                <w:sz w:val="16"/>
                <w:szCs w:val="16"/>
              </w:rPr>
            </w:pPr>
          </w:p>
          <w:p w14:paraId="7215D390" w14:textId="2ED3036D" w:rsidR="00F5791D" w:rsidRDefault="00F5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  <w:p w14:paraId="482CDF44" w14:textId="08459FF3" w:rsidR="00F5791D" w:rsidRPr="00F5791D" w:rsidRDefault="00F5791D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14:paraId="7C7E0BD1" w14:textId="6B116DDE" w:rsidR="00F5791D" w:rsidRDefault="00F5791D">
            <w:r>
              <w:t>1</w:t>
            </w:r>
          </w:p>
        </w:tc>
        <w:tc>
          <w:tcPr>
            <w:tcW w:w="987" w:type="dxa"/>
          </w:tcPr>
          <w:p w14:paraId="0A984225" w14:textId="16B0BC23" w:rsidR="00F5791D" w:rsidRDefault="00F5791D">
            <w:r>
              <w:t>2</w:t>
            </w:r>
          </w:p>
        </w:tc>
        <w:tc>
          <w:tcPr>
            <w:tcW w:w="986" w:type="dxa"/>
          </w:tcPr>
          <w:p w14:paraId="0E2E4A9B" w14:textId="152E4024" w:rsidR="00F5791D" w:rsidRDefault="00F5791D">
            <w:r>
              <w:t>3</w:t>
            </w:r>
          </w:p>
        </w:tc>
        <w:tc>
          <w:tcPr>
            <w:tcW w:w="989" w:type="dxa"/>
          </w:tcPr>
          <w:p w14:paraId="20F0C286" w14:textId="2A5F6C1D" w:rsidR="00F5791D" w:rsidRDefault="00F5791D">
            <w:r>
              <w:t>4</w:t>
            </w:r>
          </w:p>
        </w:tc>
        <w:tc>
          <w:tcPr>
            <w:tcW w:w="987" w:type="dxa"/>
          </w:tcPr>
          <w:p w14:paraId="4F635A95" w14:textId="29C34F81" w:rsidR="00F5791D" w:rsidRDefault="00F5791D">
            <w:r>
              <w:t>5</w:t>
            </w:r>
          </w:p>
        </w:tc>
        <w:tc>
          <w:tcPr>
            <w:tcW w:w="986" w:type="dxa"/>
          </w:tcPr>
          <w:p w14:paraId="3196E00B" w14:textId="7F884FEF" w:rsidR="00F5791D" w:rsidRDefault="00F5791D">
            <w:r>
              <w:t>6</w:t>
            </w:r>
          </w:p>
        </w:tc>
        <w:tc>
          <w:tcPr>
            <w:tcW w:w="849" w:type="dxa"/>
          </w:tcPr>
          <w:p w14:paraId="6D03F680" w14:textId="64446A09" w:rsidR="00F5791D" w:rsidRDefault="00F5791D">
            <w:r>
              <w:t>7</w:t>
            </w:r>
          </w:p>
          <w:p w14:paraId="041DDEA4" w14:textId="4713F901" w:rsidR="00F5791D" w:rsidRPr="00F5791D" w:rsidRDefault="00F5791D" w:rsidP="00F5791D"/>
        </w:tc>
        <w:tc>
          <w:tcPr>
            <w:tcW w:w="882" w:type="dxa"/>
          </w:tcPr>
          <w:p w14:paraId="08F2E87D" w14:textId="2FA4D0D5" w:rsidR="00F5791D" w:rsidRDefault="00F5791D">
            <w:r>
              <w:t>8</w:t>
            </w:r>
          </w:p>
        </w:tc>
      </w:tr>
      <w:tr w:rsidR="00F5791D" w14:paraId="46DB73CD" w14:textId="77777777" w:rsidTr="006430CF">
        <w:tc>
          <w:tcPr>
            <w:tcW w:w="1692" w:type="dxa"/>
          </w:tcPr>
          <w:p w14:paraId="123EC78A" w14:textId="1CFE9A41" w:rsidR="00F5791D" w:rsidRDefault="00F5791D">
            <w:proofErr w:type="spellStart"/>
            <w:proofErr w:type="gramStart"/>
            <w:r>
              <w:t>ИСТ,у</w:t>
            </w:r>
            <w:proofErr w:type="gramEnd"/>
            <w:r>
              <w:t>.е</w:t>
            </w:r>
            <w:proofErr w:type="spellEnd"/>
          </w:p>
        </w:tc>
        <w:tc>
          <w:tcPr>
            <w:tcW w:w="987" w:type="dxa"/>
          </w:tcPr>
          <w:p w14:paraId="0D79B082" w14:textId="2DE7E419" w:rsidR="00F5791D" w:rsidRDefault="00F5791D">
            <w:r w:rsidRPr="00F5791D">
              <w:t xml:space="preserve">61±15 </w:t>
            </w:r>
          </w:p>
        </w:tc>
        <w:tc>
          <w:tcPr>
            <w:tcW w:w="987" w:type="dxa"/>
          </w:tcPr>
          <w:p w14:paraId="1075279F" w14:textId="3426650E" w:rsidR="00F5791D" w:rsidRDefault="00F5791D">
            <w:r w:rsidRPr="00F5791D">
              <w:t>54±9</w:t>
            </w:r>
          </w:p>
        </w:tc>
        <w:tc>
          <w:tcPr>
            <w:tcW w:w="986" w:type="dxa"/>
          </w:tcPr>
          <w:p w14:paraId="797DC1AB" w14:textId="12D7403B" w:rsidR="00F5791D" w:rsidRDefault="00F5791D">
            <w:r w:rsidRPr="00F5791D">
              <w:t>60±16</w:t>
            </w:r>
          </w:p>
        </w:tc>
        <w:tc>
          <w:tcPr>
            <w:tcW w:w="989" w:type="dxa"/>
          </w:tcPr>
          <w:p w14:paraId="687BC530" w14:textId="2E9A52C1" w:rsidR="00F5791D" w:rsidRDefault="00F5791D">
            <w:r w:rsidRPr="00F5791D">
              <w:t>50±7*</w:t>
            </w:r>
          </w:p>
        </w:tc>
        <w:tc>
          <w:tcPr>
            <w:tcW w:w="987" w:type="dxa"/>
          </w:tcPr>
          <w:p w14:paraId="6F48BD3E" w14:textId="693AF181" w:rsidR="00F5791D" w:rsidRDefault="00F5791D">
            <w:r w:rsidRPr="00F5791D">
              <w:t>49±8</w:t>
            </w:r>
          </w:p>
        </w:tc>
        <w:tc>
          <w:tcPr>
            <w:tcW w:w="986" w:type="dxa"/>
          </w:tcPr>
          <w:p w14:paraId="5490E88F" w14:textId="4153C3DC" w:rsidR="00F5791D" w:rsidRDefault="00F5791D">
            <w:r w:rsidRPr="00F5791D">
              <w:t>52 ±7</w:t>
            </w:r>
          </w:p>
        </w:tc>
        <w:tc>
          <w:tcPr>
            <w:tcW w:w="849" w:type="dxa"/>
          </w:tcPr>
          <w:p w14:paraId="5636ABA9" w14:textId="004C3737" w:rsidR="00F5791D" w:rsidRDefault="00F5791D">
            <w:r w:rsidRPr="00F5791D">
              <w:t>49±5</w:t>
            </w:r>
          </w:p>
        </w:tc>
        <w:tc>
          <w:tcPr>
            <w:tcW w:w="882" w:type="dxa"/>
          </w:tcPr>
          <w:p w14:paraId="0A6459F3" w14:textId="6A47B8E8" w:rsidR="00F5791D" w:rsidRDefault="00F5791D">
            <w:r w:rsidRPr="00F5791D">
              <w:t>59±10*</w:t>
            </w:r>
          </w:p>
        </w:tc>
      </w:tr>
      <w:tr w:rsidR="00F5791D" w14:paraId="0C1F0269" w14:textId="77777777" w:rsidTr="006430CF">
        <w:tc>
          <w:tcPr>
            <w:tcW w:w="1692" w:type="dxa"/>
          </w:tcPr>
          <w:p w14:paraId="6BF665F9" w14:textId="4E57FCD4" w:rsidR="00F5791D" w:rsidRDefault="00F5791D">
            <w:r>
              <w:t xml:space="preserve">Проба </w:t>
            </w:r>
            <w:proofErr w:type="spellStart"/>
            <w:r>
              <w:t>Генча</w:t>
            </w:r>
            <w:proofErr w:type="spellEnd"/>
          </w:p>
        </w:tc>
        <w:tc>
          <w:tcPr>
            <w:tcW w:w="987" w:type="dxa"/>
          </w:tcPr>
          <w:p w14:paraId="66B2EDE0" w14:textId="1CD808BD" w:rsidR="00F5791D" w:rsidRDefault="00F5791D">
            <w:r w:rsidRPr="00F5791D">
              <w:t xml:space="preserve">17±11 </w:t>
            </w:r>
          </w:p>
        </w:tc>
        <w:tc>
          <w:tcPr>
            <w:tcW w:w="987" w:type="dxa"/>
          </w:tcPr>
          <w:p w14:paraId="795CA448" w14:textId="26D3F70E" w:rsidR="00F5791D" w:rsidRDefault="00F5791D">
            <w:r w:rsidRPr="00F5791D">
              <w:t>26±7*</w:t>
            </w:r>
          </w:p>
        </w:tc>
        <w:tc>
          <w:tcPr>
            <w:tcW w:w="986" w:type="dxa"/>
          </w:tcPr>
          <w:p w14:paraId="72174C4C" w14:textId="5877EC88" w:rsidR="00F5791D" w:rsidRDefault="00F5791D">
            <w:r w:rsidRPr="00F5791D">
              <w:t>19±9</w:t>
            </w:r>
          </w:p>
        </w:tc>
        <w:tc>
          <w:tcPr>
            <w:tcW w:w="989" w:type="dxa"/>
          </w:tcPr>
          <w:p w14:paraId="02D7006A" w14:textId="7A988DD9" w:rsidR="00F5791D" w:rsidRDefault="00F5791D">
            <w:r w:rsidRPr="00F5791D">
              <w:t>32±13*</w:t>
            </w:r>
          </w:p>
        </w:tc>
        <w:tc>
          <w:tcPr>
            <w:tcW w:w="987" w:type="dxa"/>
          </w:tcPr>
          <w:p w14:paraId="0D379F47" w14:textId="7FF0F931" w:rsidR="00F5791D" w:rsidRDefault="00F5791D">
            <w:r w:rsidRPr="00F5791D">
              <w:t>26±8*</w:t>
            </w:r>
          </w:p>
        </w:tc>
        <w:tc>
          <w:tcPr>
            <w:tcW w:w="986" w:type="dxa"/>
          </w:tcPr>
          <w:p w14:paraId="29E62630" w14:textId="294392B0" w:rsidR="00F5791D" w:rsidRDefault="00F5791D">
            <w:r w:rsidRPr="00F5791D">
              <w:t>31±6*</w:t>
            </w:r>
          </w:p>
        </w:tc>
        <w:tc>
          <w:tcPr>
            <w:tcW w:w="849" w:type="dxa"/>
          </w:tcPr>
          <w:p w14:paraId="7D53BD2A" w14:textId="645067A6" w:rsidR="00F5791D" w:rsidRDefault="00F5791D">
            <w:r w:rsidRPr="00F5791D">
              <w:t>29±12</w:t>
            </w:r>
          </w:p>
        </w:tc>
        <w:tc>
          <w:tcPr>
            <w:tcW w:w="882" w:type="dxa"/>
          </w:tcPr>
          <w:p w14:paraId="108CFEFE" w14:textId="5ECE2391" w:rsidR="00F5791D" w:rsidRDefault="00F5791D">
            <w:r w:rsidRPr="00F5791D">
              <w:t>39±15*</w:t>
            </w:r>
          </w:p>
        </w:tc>
      </w:tr>
      <w:tr w:rsidR="00F5791D" w14:paraId="53F777FC" w14:textId="77777777" w:rsidTr="006430CF">
        <w:tc>
          <w:tcPr>
            <w:tcW w:w="1692" w:type="dxa"/>
          </w:tcPr>
          <w:p w14:paraId="1CAC2919" w14:textId="475021CA" w:rsidR="00F5791D" w:rsidRDefault="00F5791D">
            <w:r>
              <w:t xml:space="preserve">Интегральный показатель, </w:t>
            </w:r>
            <w:proofErr w:type="spellStart"/>
            <w:proofErr w:type="gramStart"/>
            <w:r>
              <w:t>у.е</w:t>
            </w:r>
            <w:proofErr w:type="spellEnd"/>
            <w:proofErr w:type="gramEnd"/>
          </w:p>
        </w:tc>
        <w:tc>
          <w:tcPr>
            <w:tcW w:w="987" w:type="dxa"/>
          </w:tcPr>
          <w:p w14:paraId="13B16B58" w14:textId="736A9F43" w:rsidR="00F5791D" w:rsidRDefault="00F5791D">
            <w:r w:rsidRPr="00F5791D">
              <w:t xml:space="preserve">25,5 ± 5 </w:t>
            </w:r>
          </w:p>
        </w:tc>
        <w:tc>
          <w:tcPr>
            <w:tcW w:w="987" w:type="dxa"/>
          </w:tcPr>
          <w:p w14:paraId="186FB87B" w14:textId="5C6CC2E7" w:rsidR="00F5791D" w:rsidRDefault="00F5791D">
            <w:r w:rsidRPr="00F5791D">
              <w:t>25,7±3</w:t>
            </w:r>
          </w:p>
        </w:tc>
        <w:tc>
          <w:tcPr>
            <w:tcW w:w="986" w:type="dxa"/>
          </w:tcPr>
          <w:p w14:paraId="1105124A" w14:textId="4CDF5239" w:rsidR="00F5791D" w:rsidRDefault="00F5791D">
            <w:r w:rsidRPr="00F5791D">
              <w:t>26±5</w:t>
            </w:r>
          </w:p>
        </w:tc>
        <w:tc>
          <w:tcPr>
            <w:tcW w:w="989" w:type="dxa"/>
          </w:tcPr>
          <w:p w14:paraId="0A9B5EED" w14:textId="52BEFAE7" w:rsidR="00F5791D" w:rsidRDefault="00F5791D">
            <w:r w:rsidRPr="00F5791D">
              <w:t>25,3±4</w:t>
            </w:r>
          </w:p>
        </w:tc>
        <w:tc>
          <w:tcPr>
            <w:tcW w:w="987" w:type="dxa"/>
          </w:tcPr>
          <w:p w14:paraId="05956CDD" w14:textId="0B408A8B" w:rsidR="00F5791D" w:rsidRDefault="00F5791D">
            <w:r w:rsidRPr="00F5791D">
              <w:t>24±3</w:t>
            </w:r>
          </w:p>
        </w:tc>
        <w:tc>
          <w:tcPr>
            <w:tcW w:w="986" w:type="dxa"/>
          </w:tcPr>
          <w:p w14:paraId="507E07B1" w14:textId="300A41F6" w:rsidR="00F5791D" w:rsidRDefault="00F5791D">
            <w:r w:rsidRPr="00F5791D">
              <w:t>25±4</w:t>
            </w:r>
          </w:p>
        </w:tc>
        <w:tc>
          <w:tcPr>
            <w:tcW w:w="849" w:type="dxa"/>
          </w:tcPr>
          <w:p w14:paraId="0DF9EDFE" w14:textId="169ADA28" w:rsidR="00F5791D" w:rsidRDefault="00F5791D">
            <w:r w:rsidRPr="00F5791D">
              <w:t>24,2±3</w:t>
            </w:r>
          </w:p>
        </w:tc>
        <w:tc>
          <w:tcPr>
            <w:tcW w:w="882" w:type="dxa"/>
          </w:tcPr>
          <w:p w14:paraId="482BD0D6" w14:textId="19F13CDF" w:rsidR="00F5791D" w:rsidRDefault="00F5791D">
            <w:r w:rsidRPr="00F5791D">
              <w:t>27±3*</w:t>
            </w:r>
          </w:p>
        </w:tc>
      </w:tr>
    </w:tbl>
    <w:p w14:paraId="6DB4DFEC" w14:textId="079C52FF" w:rsidR="00F5791D" w:rsidRDefault="006430CF">
      <w:r>
        <w:t>Примечание: * – достоверность различий в группе между обследованиями, р≤0,05; ** – достоверность различий в группе между обследованиями, р≤0,01.</w:t>
      </w:r>
    </w:p>
    <w:p w14:paraId="3498BB8F" w14:textId="77777777" w:rsidR="00F5791D" w:rsidRDefault="00F5791D"/>
    <w:p w14:paraId="191A2AA9" w14:textId="77777777" w:rsidR="006430CF" w:rsidRPr="006430CF" w:rsidRDefault="00C82CD7">
      <w:pPr>
        <w:rPr>
          <w:rFonts w:ascii="Times New Roman" w:hAnsi="Times New Roman" w:cs="Times New Roman"/>
          <w:sz w:val="24"/>
          <w:szCs w:val="24"/>
        </w:rPr>
      </w:pPr>
      <w:r w:rsidRPr="006430CF">
        <w:rPr>
          <w:rFonts w:ascii="Times New Roman" w:hAnsi="Times New Roman" w:cs="Times New Roman"/>
          <w:sz w:val="24"/>
          <w:szCs w:val="24"/>
        </w:rPr>
        <w:t xml:space="preserve">При обследовании в начале второго подготовительного периода, показатель ИСТ начинает принимать первоначальные значения, хотя статистически остается ниже обследования в восстановительном периоде. Мы видим достижения практически максимальных значений, в первый и второй соревновательные периоды, хотя доля общей физической нагрузки в них не велика, что свидетельствует, о функциональной подготовленности спортсменов и достижению оптимального ФС, в связи с предстоящими соревнованиями. Статистическая значимость изменения результатов, наблюдается в динамике увеличения показателя пробы </w:t>
      </w:r>
      <w:proofErr w:type="spellStart"/>
      <w:r w:rsidRPr="006430CF">
        <w:rPr>
          <w:rFonts w:ascii="Times New Roman" w:hAnsi="Times New Roman" w:cs="Times New Roman"/>
          <w:sz w:val="24"/>
          <w:szCs w:val="24"/>
        </w:rPr>
        <w:t>Генча</w:t>
      </w:r>
      <w:proofErr w:type="spellEnd"/>
      <w:r w:rsidRPr="006430CF">
        <w:rPr>
          <w:rFonts w:ascii="Times New Roman" w:hAnsi="Times New Roman" w:cs="Times New Roman"/>
          <w:sz w:val="24"/>
          <w:szCs w:val="24"/>
        </w:rPr>
        <w:t xml:space="preserve">, что свидетельствует об активной адаптации к специализированной физической работе, связанной, прежде всего, с анаэробно-аэробной работоспособностью, которая характерна для единоборцев. Во втором восстановительном периоде статистически наблюдается, самое большое значение показателя ПГ. Вероятнее всего, мы наблюдаем, продолжение адаптации к специальной </w:t>
      </w:r>
      <w:r w:rsidRPr="006430CF">
        <w:rPr>
          <w:rFonts w:ascii="Times New Roman" w:hAnsi="Times New Roman" w:cs="Times New Roman"/>
          <w:sz w:val="24"/>
          <w:szCs w:val="24"/>
        </w:rPr>
        <w:lastRenderedPageBreak/>
        <w:t xml:space="preserve">ФН, в независимости от уменьшения её доли во втором восстановительном периоде. Предполагаем, это связанно с тем, что показатель улучшается по инерции и </w:t>
      </w:r>
      <w:proofErr w:type="gramStart"/>
      <w:r w:rsidRPr="006430CF">
        <w:rPr>
          <w:rFonts w:ascii="Times New Roman" w:hAnsi="Times New Roman" w:cs="Times New Roman"/>
          <w:sz w:val="24"/>
          <w:szCs w:val="24"/>
        </w:rPr>
        <w:t>пик</w:t>
      </w:r>
      <w:proofErr w:type="gramEnd"/>
      <w:r w:rsidRPr="006430CF">
        <w:rPr>
          <w:rFonts w:ascii="Times New Roman" w:hAnsi="Times New Roman" w:cs="Times New Roman"/>
          <w:sz w:val="24"/>
          <w:szCs w:val="24"/>
        </w:rPr>
        <w:t xml:space="preserve"> наблюдаемый именно здесь, может говорить нам о не совсем качественном распределении ФН в тренировочном цикле. Мы можем увидеть статистически значимое изменение результатов в конце второго подготовительного периода и вторым соревновательным периоде относительно точки падения в начале второго подготовительного периода. Связанны такие изменения с увеличения доли специальной физической нагрузки на тренировке, которая выражалась в увеличении объёма </w:t>
      </w:r>
      <w:proofErr w:type="spellStart"/>
      <w:r w:rsidRPr="006430CF">
        <w:rPr>
          <w:rFonts w:ascii="Times New Roman" w:hAnsi="Times New Roman" w:cs="Times New Roman"/>
          <w:sz w:val="24"/>
          <w:szCs w:val="24"/>
        </w:rPr>
        <w:t>спарринговой</w:t>
      </w:r>
      <w:proofErr w:type="spellEnd"/>
      <w:r w:rsidRPr="006430CF">
        <w:rPr>
          <w:rFonts w:ascii="Times New Roman" w:hAnsi="Times New Roman" w:cs="Times New Roman"/>
          <w:sz w:val="24"/>
          <w:szCs w:val="24"/>
        </w:rPr>
        <w:t xml:space="preserve"> работы [1-9, 12-13, 18-22]. В обследовании, во втором соревновательном периоде, статистически увеличился показатель ПГ относительно предыдущих, что свидетельствует об активной функциональной подготовке спортсменов к выступлениям на соревнованиях. Одновременно, был проведен анализ взаимосвязи интегрального показателя функционального состояния и выступления спортсменов на соревнованиях. Мы, не наблюдаем статистически значимой корреляции между показателем интегральной оценки и призовым местом на соревновании (1 место – 26,91; 1 место – 26,09; 3 место – 23,27), но было выявлено статистически достоверно различие между интегральными показателями </w:t>
      </w:r>
      <w:proofErr w:type="gramStart"/>
      <w:r w:rsidRPr="006430CF"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 w:rsidRPr="006430CF">
        <w:rPr>
          <w:rFonts w:ascii="Times New Roman" w:hAnsi="Times New Roman" w:cs="Times New Roman"/>
          <w:sz w:val="24"/>
          <w:szCs w:val="24"/>
        </w:rPr>
        <w:t xml:space="preserve"> занявших первое место на соревнованиях и третье. Спортсмены, занявшие первое место, имеют более высокие результаты интегральной оценки, чем спортсмены, занявшие третье место. Так же, мы, можем наблюдать динамику изменения средних показателей, между первым вторым и третьим местом. Нужно учитывать, что уровень функциональной подготовленности спортсменов, является частью спортивной подготовки, в которую входят психологическая, тактическая, техническая подготовка. Вследствие вышесказанного можно предположить, что наиболее высокие результаты интегральной оценки у спортсменов, могут являться косвенным признаком успешности выступления на соревнованиях [1-9, 12-13, 18-22]. </w:t>
      </w:r>
    </w:p>
    <w:p w14:paraId="551A80EB" w14:textId="1BE360B3" w:rsidR="00754ACC" w:rsidRPr="006430CF" w:rsidRDefault="00C82CD7">
      <w:pPr>
        <w:rPr>
          <w:rFonts w:ascii="Times New Roman" w:hAnsi="Times New Roman" w:cs="Times New Roman"/>
          <w:sz w:val="24"/>
          <w:szCs w:val="24"/>
        </w:rPr>
      </w:pPr>
      <w:r w:rsidRPr="006430CF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Pr="006430CF">
        <w:rPr>
          <w:rFonts w:ascii="Times New Roman" w:hAnsi="Times New Roman" w:cs="Times New Roman"/>
          <w:sz w:val="24"/>
          <w:szCs w:val="24"/>
        </w:rPr>
        <w:t xml:space="preserve"> 1. Мониторинг функционального состояния, помог проследить динамику адаптации спортсменов-тхэквондистов в годичном тренировочном цикле; 2. Выявлены особенности данной адаптации, связанной в первую очередь с активной работой зрительных центров коры больших полушарий выносливости, связанной со спецификой вида спорта; 3. Мониторинг функционального состояния позволил выявить начало формирования «функциональной ямы» у спортсменов, которая, вероятно, обусловлена уменьшением уровня физических нагрузок на тренировке; 4. Данная методика оценки функционального состояния, позволяет тренеру наиболее эффективно проводить медико-биологическую диагностику спортсменов и получать данные, которые косвенно могут помочь в определении готовности, как отдельного человека, так и группы к соревнованиям. </w:t>
      </w:r>
    </w:p>
    <w:p w14:paraId="2598E7BB" w14:textId="75FEC8AC" w:rsidR="00C82CD7" w:rsidRPr="006430CF" w:rsidRDefault="00C82CD7">
      <w:pPr>
        <w:rPr>
          <w:rFonts w:ascii="Times New Roman" w:hAnsi="Times New Roman" w:cs="Times New Roman"/>
          <w:sz w:val="24"/>
          <w:szCs w:val="24"/>
        </w:rPr>
      </w:pPr>
    </w:p>
    <w:p w14:paraId="4A656339" w14:textId="2E9C5B8C" w:rsidR="00C82CD7" w:rsidRDefault="00C82CD7"/>
    <w:p w14:paraId="6B246555" w14:textId="77777777" w:rsidR="00C82CD7" w:rsidRDefault="00C82CD7"/>
    <w:sectPr w:rsidR="00C8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D7"/>
    <w:rsid w:val="006430CF"/>
    <w:rsid w:val="00754ACC"/>
    <w:rsid w:val="00C82CD7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338"/>
  <w15:chartTrackingRefBased/>
  <w15:docId w15:val="{87B029DA-603B-46F4-9EEA-A8446306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1303-6A63-4520-B1FF-ACA72489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2024-02-14T13:34:00Z</dcterms:created>
  <dcterms:modified xsi:type="dcterms:W3CDTF">2024-02-14T13:57:00Z</dcterms:modified>
</cp:coreProperties>
</file>